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B9" w:rsidRPr="00425E46" w:rsidRDefault="009671B9" w:rsidP="00596B4C">
      <w:pPr>
        <w:pStyle w:val="Title"/>
        <w:jc w:val="center"/>
        <w:rPr>
          <w:sz w:val="32"/>
          <w:szCs w:val="32"/>
        </w:rPr>
      </w:pPr>
      <w:r w:rsidRPr="00425E46">
        <w:rPr>
          <w:sz w:val="32"/>
          <w:szCs w:val="32"/>
        </w:rPr>
        <w:t xml:space="preserve">INFORME DE EXIGENCIAS TÉCNICAS PARA LA EJECUCIÓN DE </w:t>
      </w:r>
      <w:r>
        <w:rPr>
          <w:sz w:val="32"/>
          <w:szCs w:val="32"/>
        </w:rPr>
        <w:t>CIMENTACIÓN</w:t>
      </w:r>
    </w:p>
    <w:p w:rsidR="009671B9" w:rsidRDefault="009671B9" w:rsidP="00596B4C"/>
    <w:p w:rsidR="009671B9" w:rsidRPr="001B5845" w:rsidRDefault="009671B9" w:rsidP="00BA2F7A">
      <w:pPr>
        <w:ind w:firstLine="708"/>
        <w:jc w:val="both"/>
        <w:rPr>
          <w:rFonts w:ascii="Bookman Old Style" w:hAnsi="Bookman Old Style" w:cs="Andalus"/>
          <w:sz w:val="24"/>
          <w:szCs w:val="24"/>
        </w:rPr>
      </w:pPr>
      <w:r w:rsidRPr="001B5845">
        <w:rPr>
          <w:rFonts w:ascii="Bookman Old Style" w:hAnsi="Bookman Old Style" w:cs="Andalus"/>
          <w:sz w:val="24"/>
          <w:szCs w:val="24"/>
        </w:rPr>
        <w:t>Se redacta el siguiente informe para definir las exigencias técnicas que deber</w:t>
      </w:r>
      <w:r w:rsidRPr="001B5845">
        <w:rPr>
          <w:rFonts w:ascii="Bookman Old Style" w:hAnsi="Bookman Old Style"/>
          <w:sz w:val="24"/>
          <w:szCs w:val="24"/>
        </w:rPr>
        <w:t>á</w:t>
      </w:r>
      <w:r w:rsidRPr="001B5845">
        <w:rPr>
          <w:rFonts w:ascii="Bookman Old Style" w:hAnsi="Bookman Old Style" w:cs="Andalus"/>
          <w:sz w:val="24"/>
          <w:szCs w:val="24"/>
        </w:rPr>
        <w:t xml:space="preserve">n cumplirse durante la ejecución de la </w:t>
      </w:r>
      <w:r>
        <w:rPr>
          <w:rFonts w:ascii="Bookman Old Style" w:hAnsi="Bookman Old Style" w:cs="Andalus"/>
          <w:sz w:val="24"/>
          <w:szCs w:val="24"/>
        </w:rPr>
        <w:t>cimentación superficial</w:t>
      </w:r>
      <w:r w:rsidRPr="001B5845">
        <w:rPr>
          <w:rFonts w:ascii="Bookman Old Style" w:hAnsi="Bookman Old Style" w:cs="Andalus"/>
          <w:sz w:val="24"/>
          <w:szCs w:val="24"/>
        </w:rPr>
        <w:t xml:space="preserve"> de </w:t>
      </w:r>
      <w:r>
        <w:rPr>
          <w:rFonts w:ascii="Bookman Old Style" w:hAnsi="Bookman Old Style" w:cs="Andalus"/>
          <w:sz w:val="24"/>
          <w:szCs w:val="24"/>
        </w:rPr>
        <w:t>22</w:t>
      </w:r>
      <w:r w:rsidRPr="001B5845">
        <w:rPr>
          <w:rFonts w:ascii="Bookman Old Style" w:hAnsi="Bookman Old Style" w:cs="Andalus"/>
          <w:sz w:val="24"/>
          <w:szCs w:val="24"/>
        </w:rPr>
        <w:t xml:space="preserve"> viviendas y garajes en </w:t>
      </w:r>
      <w:r>
        <w:rPr>
          <w:rFonts w:ascii="Bookman Old Style" w:hAnsi="Bookman Old Style" w:cs="Andalus"/>
          <w:sz w:val="24"/>
          <w:szCs w:val="24"/>
        </w:rPr>
        <w:t>Aguilar de Alfambra</w:t>
      </w:r>
      <w:r w:rsidRPr="001B5845">
        <w:rPr>
          <w:rFonts w:ascii="Bookman Old Style" w:hAnsi="Bookman Old Style" w:cs="Andalus"/>
          <w:sz w:val="24"/>
          <w:szCs w:val="24"/>
        </w:rPr>
        <w:t>.</w:t>
      </w:r>
    </w:p>
    <w:p w:rsidR="009671B9" w:rsidRPr="001B5845" w:rsidRDefault="009671B9" w:rsidP="00BA2F7A">
      <w:pPr>
        <w:pStyle w:val="ListParagraph"/>
        <w:numPr>
          <w:ilvl w:val="0"/>
          <w:numId w:val="2"/>
        </w:numPr>
        <w:ind w:left="0" w:firstLine="426"/>
        <w:jc w:val="both"/>
        <w:rPr>
          <w:rFonts w:ascii="Bookman Old Style" w:hAnsi="Bookman Old Style" w:cs="Andalus"/>
          <w:sz w:val="24"/>
          <w:szCs w:val="24"/>
        </w:rPr>
      </w:pPr>
      <w:r>
        <w:rPr>
          <w:rFonts w:ascii="Bookman Old Style" w:hAnsi="Bookman Old Style" w:cs="Andalus"/>
          <w:sz w:val="24"/>
          <w:szCs w:val="24"/>
        </w:rPr>
        <w:t>Previamente a la colocación del armado, se colocarán los calzos separadores sobre el hormigón de limpieza, para asegurar los recubrimientos mínimos exigidos que se indican en el cuadro “recubrimientos nominales en cimentación” que se encuentra en el plano E-1</w:t>
      </w:r>
      <w:r w:rsidRPr="001B5845">
        <w:rPr>
          <w:rFonts w:ascii="Bookman Old Style" w:hAnsi="Bookman Old Style" w:cs="Andalus"/>
          <w:sz w:val="24"/>
          <w:szCs w:val="24"/>
        </w:rPr>
        <w:t xml:space="preserve">.  </w:t>
      </w:r>
      <w:r>
        <w:rPr>
          <w:rFonts w:ascii="Bookman Old Style" w:hAnsi="Bookman Old Style" w:cs="Andalus"/>
          <w:sz w:val="24"/>
          <w:szCs w:val="24"/>
        </w:rPr>
        <w:t>Dichos separadores estarán homologados, no permitiéndose el uso de piedras, trozos de bloque o ladrillo como apoyo del armado.</w:t>
      </w:r>
    </w:p>
    <w:p w:rsidR="009671B9" w:rsidRPr="001B5845" w:rsidRDefault="009671B9" w:rsidP="00621151">
      <w:pPr>
        <w:pStyle w:val="ListParagraph"/>
        <w:ind w:left="426"/>
        <w:jc w:val="both"/>
        <w:rPr>
          <w:rFonts w:ascii="Bookman Old Style" w:hAnsi="Bookman Old Style" w:cs="Andalus"/>
          <w:sz w:val="24"/>
          <w:szCs w:val="24"/>
        </w:rPr>
      </w:pPr>
    </w:p>
    <w:p w:rsidR="009671B9" w:rsidRPr="001B5845" w:rsidRDefault="009671B9" w:rsidP="00BA2F7A">
      <w:pPr>
        <w:pStyle w:val="ListParagraph"/>
        <w:numPr>
          <w:ilvl w:val="0"/>
          <w:numId w:val="2"/>
        </w:numPr>
        <w:ind w:left="0" w:firstLine="426"/>
        <w:jc w:val="both"/>
        <w:rPr>
          <w:rFonts w:ascii="Bookman Old Style" w:hAnsi="Bookman Old Style" w:cs="Andalus"/>
          <w:sz w:val="24"/>
          <w:szCs w:val="24"/>
        </w:rPr>
      </w:pPr>
      <w:r>
        <w:rPr>
          <w:rFonts w:ascii="Bookman Old Style" w:hAnsi="Bookman Old Style" w:cs="Andalus"/>
          <w:sz w:val="24"/>
          <w:szCs w:val="24"/>
        </w:rPr>
        <w:t>Los ejes de armado de riostras y vigas centradoras serán coincidentes con los ejes de los pilares de sus extremos</w:t>
      </w:r>
      <w:r w:rsidRPr="001B5845">
        <w:rPr>
          <w:rFonts w:ascii="Bookman Old Style" w:hAnsi="Bookman Old Style" w:cs="Andalus"/>
          <w:sz w:val="24"/>
          <w:szCs w:val="24"/>
        </w:rPr>
        <w:t>.</w:t>
      </w:r>
    </w:p>
    <w:p w:rsidR="009671B9" w:rsidRPr="001B5845" w:rsidRDefault="009671B9" w:rsidP="00BA2F7A">
      <w:pPr>
        <w:pStyle w:val="ListParagraph"/>
        <w:ind w:left="426"/>
        <w:jc w:val="both"/>
        <w:rPr>
          <w:rFonts w:ascii="Bookman Old Style" w:hAnsi="Bookman Old Style" w:cs="Andalus"/>
          <w:sz w:val="24"/>
          <w:szCs w:val="24"/>
        </w:rPr>
      </w:pPr>
    </w:p>
    <w:p w:rsidR="009671B9" w:rsidRPr="001B5845" w:rsidRDefault="009671B9" w:rsidP="00BA2F7A">
      <w:pPr>
        <w:pStyle w:val="ListParagraph"/>
        <w:numPr>
          <w:ilvl w:val="0"/>
          <w:numId w:val="2"/>
        </w:numPr>
        <w:ind w:left="0" w:firstLine="426"/>
        <w:jc w:val="both"/>
        <w:rPr>
          <w:rFonts w:ascii="Bookman Old Style" w:hAnsi="Bookman Old Style" w:cs="Andalus"/>
          <w:sz w:val="24"/>
          <w:szCs w:val="24"/>
        </w:rPr>
      </w:pPr>
      <w:r>
        <w:rPr>
          <w:rFonts w:ascii="Bookman Old Style" w:hAnsi="Bookman Old Style" w:cs="Andalus"/>
          <w:sz w:val="24"/>
          <w:szCs w:val="24"/>
        </w:rPr>
        <w:t>Se asegurará la posición de los pilares respecto de las zapatas, según las medidas del plano correspondiente</w:t>
      </w:r>
      <w:r w:rsidRPr="001B5845">
        <w:rPr>
          <w:rFonts w:ascii="Bookman Old Style" w:hAnsi="Bookman Old Style" w:cs="Andalus"/>
          <w:sz w:val="24"/>
          <w:szCs w:val="24"/>
        </w:rPr>
        <w:t>.</w:t>
      </w:r>
      <w:r>
        <w:rPr>
          <w:rFonts w:ascii="Bookman Old Style" w:hAnsi="Bookman Old Style" w:cs="Andalus"/>
          <w:sz w:val="24"/>
          <w:szCs w:val="24"/>
        </w:rPr>
        <w:t xml:space="preserve">  Además se asegurará dicha posición mediante el atado de las patillas al emparrillado inferior de la zapata, además de atar también las esperas de pilar al emparrillado superior, para evitar así movimientos durante el proceso de hormigonado.  Se seguirán éstas instrucciones también para las esperas de las muretas.</w:t>
      </w:r>
    </w:p>
    <w:p w:rsidR="009671B9" w:rsidRPr="001B5845" w:rsidRDefault="009671B9" w:rsidP="00F54892">
      <w:pPr>
        <w:pStyle w:val="ListParagraph"/>
        <w:rPr>
          <w:rFonts w:ascii="Bookman Old Style" w:hAnsi="Bookman Old Style" w:cs="Andalus"/>
          <w:sz w:val="24"/>
          <w:szCs w:val="24"/>
        </w:rPr>
      </w:pPr>
    </w:p>
    <w:p w:rsidR="009671B9" w:rsidRPr="001B5845" w:rsidRDefault="009671B9" w:rsidP="00BA2F7A">
      <w:pPr>
        <w:pStyle w:val="ListParagraph"/>
        <w:numPr>
          <w:ilvl w:val="0"/>
          <w:numId w:val="2"/>
        </w:numPr>
        <w:ind w:left="0" w:firstLine="426"/>
        <w:jc w:val="both"/>
        <w:rPr>
          <w:rFonts w:ascii="Bookman Old Style" w:hAnsi="Bookman Old Style" w:cs="Andalus"/>
          <w:sz w:val="24"/>
          <w:szCs w:val="24"/>
        </w:rPr>
      </w:pPr>
      <w:r>
        <w:rPr>
          <w:rFonts w:ascii="Bookman Old Style" w:hAnsi="Bookman Old Style" w:cs="Andalus"/>
          <w:sz w:val="24"/>
          <w:szCs w:val="24"/>
        </w:rPr>
        <w:t>Los excesos de excavación en las zapatas se rellenarán con tierras o se evitará el paso de hormigón mediante encofrado</w:t>
      </w:r>
      <w:r w:rsidRPr="001B5845">
        <w:rPr>
          <w:rFonts w:ascii="Bookman Old Style" w:hAnsi="Bookman Old Style" w:cs="Andalus"/>
          <w:sz w:val="24"/>
          <w:szCs w:val="24"/>
        </w:rPr>
        <w:t>.</w:t>
      </w:r>
    </w:p>
    <w:p w:rsidR="009671B9" w:rsidRPr="001B5845" w:rsidRDefault="009671B9" w:rsidP="006A1675">
      <w:pPr>
        <w:pStyle w:val="ListParagraph"/>
        <w:rPr>
          <w:rFonts w:ascii="Bookman Old Style" w:hAnsi="Bookman Old Style" w:cs="Andalus"/>
          <w:sz w:val="24"/>
          <w:szCs w:val="24"/>
        </w:rPr>
      </w:pPr>
    </w:p>
    <w:p w:rsidR="009671B9" w:rsidRPr="001B5845" w:rsidRDefault="009671B9" w:rsidP="00BA2F7A">
      <w:pPr>
        <w:pStyle w:val="ListParagraph"/>
        <w:numPr>
          <w:ilvl w:val="0"/>
          <w:numId w:val="2"/>
        </w:numPr>
        <w:ind w:left="0" w:firstLine="426"/>
        <w:jc w:val="both"/>
        <w:rPr>
          <w:rFonts w:ascii="Bookman Old Style" w:hAnsi="Bookman Old Style" w:cs="Andalus"/>
          <w:sz w:val="24"/>
          <w:szCs w:val="24"/>
        </w:rPr>
      </w:pPr>
      <w:r>
        <w:rPr>
          <w:rFonts w:ascii="Bookman Old Style" w:hAnsi="Bookman Old Style" w:cs="Andalus"/>
          <w:sz w:val="24"/>
          <w:szCs w:val="24"/>
        </w:rPr>
        <w:t>Las zapatas y riostras que se encuentren a distinto nivel se ejecutarán según el detalle específico que se encuentra en el plano E-1 “unión de zapatas a distinto nivel”, así como el detalle específico para la zapata que se encuentra junto al foso del ascensor</w:t>
      </w:r>
      <w:r w:rsidRPr="001B5845">
        <w:rPr>
          <w:rFonts w:ascii="Bookman Old Style" w:hAnsi="Bookman Old Style" w:cs="Andalus"/>
          <w:sz w:val="24"/>
          <w:szCs w:val="24"/>
        </w:rPr>
        <w:t>.</w:t>
      </w:r>
    </w:p>
    <w:p w:rsidR="009671B9" w:rsidRPr="001B5845" w:rsidRDefault="009671B9" w:rsidP="009903DA">
      <w:pPr>
        <w:pStyle w:val="ListParagraph"/>
        <w:rPr>
          <w:rFonts w:ascii="Bookman Old Style" w:hAnsi="Bookman Old Style" w:cs="Andalus"/>
          <w:sz w:val="24"/>
          <w:szCs w:val="24"/>
        </w:rPr>
      </w:pPr>
    </w:p>
    <w:p w:rsidR="009671B9" w:rsidRDefault="009671B9" w:rsidP="00BE6F62">
      <w:pPr>
        <w:pStyle w:val="ListParagraph"/>
        <w:numPr>
          <w:ilvl w:val="0"/>
          <w:numId w:val="2"/>
        </w:numPr>
        <w:ind w:left="0" w:firstLine="426"/>
        <w:jc w:val="both"/>
        <w:rPr>
          <w:rFonts w:ascii="Bookman Old Style" w:hAnsi="Bookman Old Style" w:cs="Andalus"/>
          <w:sz w:val="24"/>
          <w:szCs w:val="24"/>
        </w:rPr>
      </w:pPr>
      <w:r w:rsidRPr="001B5845">
        <w:rPr>
          <w:rFonts w:ascii="Bookman Old Style" w:hAnsi="Bookman Old Style" w:cs="Andalus"/>
          <w:sz w:val="24"/>
          <w:szCs w:val="24"/>
        </w:rPr>
        <w:t>El vertido de hormigón con bomba se realizará a una altura no superior a 1m, realizado con dos operarios manejando la manguera de hormigonado mediante soga (no coger directamente la manguera), provistos de guantes, botas impermeables, casco y gafas de protección contra proyecciones de hormigón</w:t>
      </w:r>
      <w:r>
        <w:rPr>
          <w:rFonts w:ascii="Bookman Old Style" w:hAnsi="Bookman Old Style" w:cs="Andalus"/>
          <w:sz w:val="24"/>
          <w:szCs w:val="24"/>
        </w:rPr>
        <w:t xml:space="preserve">. </w:t>
      </w:r>
    </w:p>
    <w:p w:rsidR="009671B9" w:rsidRPr="00245140" w:rsidRDefault="009671B9" w:rsidP="00BE6F62">
      <w:pPr>
        <w:pStyle w:val="ListParagraph"/>
        <w:ind w:left="0"/>
        <w:jc w:val="both"/>
        <w:rPr>
          <w:rFonts w:ascii="Bookman Old Style" w:hAnsi="Bookman Old Style" w:cs="Andalus"/>
          <w:sz w:val="24"/>
          <w:szCs w:val="24"/>
        </w:rPr>
      </w:pPr>
    </w:p>
    <w:p w:rsidR="009671B9" w:rsidRDefault="009671B9" w:rsidP="0091716D">
      <w:pPr>
        <w:pStyle w:val="ListParagraph"/>
        <w:numPr>
          <w:ilvl w:val="0"/>
          <w:numId w:val="2"/>
        </w:numPr>
        <w:ind w:left="0" w:firstLine="426"/>
        <w:jc w:val="both"/>
        <w:rPr>
          <w:rFonts w:ascii="Bookman Old Style" w:hAnsi="Bookman Old Style" w:cs="Andalus"/>
          <w:sz w:val="24"/>
          <w:szCs w:val="24"/>
        </w:rPr>
      </w:pPr>
      <w:r w:rsidRPr="001B5845">
        <w:rPr>
          <w:rFonts w:ascii="Bookman Old Style" w:hAnsi="Bookman Old Style" w:cs="Andalus"/>
          <w:sz w:val="24"/>
          <w:szCs w:val="24"/>
        </w:rPr>
        <w:t xml:space="preserve">El hormigonado se realizará comenzando en </w:t>
      </w:r>
      <w:r>
        <w:rPr>
          <w:rFonts w:ascii="Bookman Old Style" w:hAnsi="Bookman Old Style" w:cs="Andalus"/>
          <w:sz w:val="24"/>
          <w:szCs w:val="24"/>
        </w:rPr>
        <w:t>el eje de pilares, desplazando el vertido hacia las riostras según se va llenando la zapata</w:t>
      </w:r>
      <w:r w:rsidRPr="001B5845">
        <w:rPr>
          <w:rFonts w:ascii="Bookman Old Style" w:hAnsi="Bookman Old Style" w:cs="Andalus"/>
          <w:sz w:val="24"/>
          <w:szCs w:val="24"/>
        </w:rPr>
        <w:t xml:space="preserve">.  </w:t>
      </w:r>
      <w:r>
        <w:rPr>
          <w:rFonts w:ascii="Bookman Old Style" w:hAnsi="Bookman Old Style" w:cs="Andalus"/>
          <w:sz w:val="24"/>
          <w:szCs w:val="24"/>
        </w:rPr>
        <w:t xml:space="preserve">Se prohíbe ejecutar por capas, siendo obligatorio llenar completamente el elemento que se esta hormigonando antes de desplazar el vertido a otro elemento de la cimentación. </w:t>
      </w:r>
    </w:p>
    <w:p w:rsidR="009671B9" w:rsidRDefault="009671B9" w:rsidP="001915C0">
      <w:pPr>
        <w:pStyle w:val="ListParagraph"/>
        <w:ind w:left="0"/>
        <w:jc w:val="both"/>
        <w:rPr>
          <w:rFonts w:ascii="Bookman Old Style" w:hAnsi="Bookman Old Style" w:cs="Andalus"/>
          <w:sz w:val="24"/>
          <w:szCs w:val="24"/>
        </w:rPr>
      </w:pPr>
    </w:p>
    <w:p w:rsidR="009671B9" w:rsidRDefault="009671B9" w:rsidP="001915C0">
      <w:pPr>
        <w:pStyle w:val="ListParagraph"/>
        <w:numPr>
          <w:ilvl w:val="0"/>
          <w:numId w:val="2"/>
        </w:numPr>
        <w:ind w:left="0" w:firstLine="426"/>
        <w:jc w:val="both"/>
        <w:rPr>
          <w:rFonts w:ascii="Bookman Old Style" w:hAnsi="Bookman Old Style" w:cs="Andalus"/>
          <w:sz w:val="24"/>
          <w:szCs w:val="24"/>
        </w:rPr>
      </w:pPr>
      <w:r w:rsidRPr="001B5845">
        <w:rPr>
          <w:rFonts w:ascii="Bookman Old Style" w:hAnsi="Bookman Old Style" w:cs="Andalus"/>
          <w:sz w:val="24"/>
          <w:szCs w:val="24"/>
        </w:rPr>
        <w:t xml:space="preserve">Durante el vertido del hormigón habrá un operario encargado de ejecutar el vibrado del mismo.  Dicho operario no tendrá ninguna otra función que no sea ir detrás de la manguera de hormigonado vibrando el hormigón recién vertido.  Durante las esperas entre camiones, seguirá vibrando hasta que quede vibrada toda la superficie vertida.  Se vibrará introduciendo en vertical la aguja del vibrador, manteniéndolo durante 3 segundos, sacándolo y volviendo a introducirlo en zona adyacente.  </w:t>
      </w:r>
      <w:r>
        <w:rPr>
          <w:rFonts w:ascii="Bookman Old Style" w:hAnsi="Bookman Old Style" w:cs="Andalus"/>
          <w:sz w:val="24"/>
          <w:szCs w:val="24"/>
        </w:rPr>
        <w:t xml:space="preserve">Es preferible vibrar poco tiempo pero en muchos puntos. </w:t>
      </w:r>
      <w:r w:rsidRPr="001B5845">
        <w:rPr>
          <w:rFonts w:ascii="Bookman Old Style" w:hAnsi="Bookman Old Style" w:cs="Andalus"/>
          <w:sz w:val="24"/>
          <w:szCs w:val="24"/>
        </w:rPr>
        <w:t xml:space="preserve">Se tendrá especial cuidado en el vibrado de </w:t>
      </w:r>
      <w:r>
        <w:rPr>
          <w:rFonts w:ascii="Bookman Old Style" w:hAnsi="Bookman Old Style" w:cs="Andalus"/>
          <w:sz w:val="24"/>
          <w:szCs w:val="24"/>
        </w:rPr>
        <w:t>los enanos de los pilares.</w:t>
      </w:r>
      <w:r w:rsidRPr="001B5845">
        <w:rPr>
          <w:rFonts w:ascii="Bookman Old Style" w:hAnsi="Bookman Old Style" w:cs="Andalus"/>
          <w:sz w:val="24"/>
          <w:szCs w:val="24"/>
        </w:rPr>
        <w:t xml:space="preserve">  Se tendrá también especial cuidado en las zonas de esquinas y bordes, reforzando el vibrado para conseguir superficies homogéneas y compactas.</w:t>
      </w:r>
      <w:r>
        <w:rPr>
          <w:rFonts w:ascii="Bookman Old Style" w:hAnsi="Bookman Old Style" w:cs="Andalus"/>
          <w:sz w:val="24"/>
          <w:szCs w:val="24"/>
        </w:rPr>
        <w:t xml:space="preserve">  Se recomienda tener previsto un vibrador de repuesto en caso de avería del principal, pues no se permite hormigonar sin vibrar inmediatamente.</w:t>
      </w:r>
    </w:p>
    <w:p w:rsidR="009671B9" w:rsidRDefault="009671B9" w:rsidP="001915C0">
      <w:pPr>
        <w:pStyle w:val="ListParagraph"/>
        <w:ind w:left="0"/>
        <w:jc w:val="both"/>
        <w:rPr>
          <w:rFonts w:ascii="Bookman Old Style" w:hAnsi="Bookman Old Style" w:cs="Andalus"/>
          <w:sz w:val="24"/>
          <w:szCs w:val="24"/>
        </w:rPr>
      </w:pPr>
    </w:p>
    <w:p w:rsidR="009671B9" w:rsidRDefault="009671B9" w:rsidP="009B738B">
      <w:pPr>
        <w:pStyle w:val="ListParagraph"/>
        <w:numPr>
          <w:ilvl w:val="0"/>
          <w:numId w:val="2"/>
        </w:numPr>
        <w:tabs>
          <w:tab w:val="left" w:pos="720"/>
        </w:tabs>
        <w:ind w:left="0" w:firstLine="425"/>
        <w:jc w:val="both"/>
        <w:rPr>
          <w:rFonts w:ascii="Bookman Old Style" w:hAnsi="Bookman Old Style" w:cs="Andalus"/>
          <w:sz w:val="24"/>
          <w:szCs w:val="24"/>
        </w:rPr>
      </w:pPr>
      <w:r>
        <w:rPr>
          <w:rFonts w:ascii="Bookman Old Style" w:hAnsi="Bookman Old Style" w:cs="Andalus"/>
          <w:sz w:val="24"/>
          <w:szCs w:val="24"/>
        </w:rPr>
        <w:t xml:space="preserve">En caso de ser necesario detener el </w:t>
      </w:r>
      <w:r w:rsidRPr="001B5845">
        <w:rPr>
          <w:rFonts w:ascii="Bookman Old Style" w:hAnsi="Bookman Old Style" w:cs="Andalus"/>
          <w:sz w:val="24"/>
          <w:szCs w:val="24"/>
        </w:rPr>
        <w:t>hormigonado por cualquier raz</w:t>
      </w:r>
      <w:r>
        <w:rPr>
          <w:rFonts w:ascii="Bookman Old Style" w:hAnsi="Bookman Old Style" w:cs="Andalus"/>
          <w:sz w:val="24"/>
          <w:szCs w:val="24"/>
        </w:rPr>
        <w:t>ón, se dejarán completamente lle</w:t>
      </w:r>
      <w:r w:rsidRPr="001B5845">
        <w:rPr>
          <w:rFonts w:ascii="Bookman Old Style" w:hAnsi="Bookman Old Style" w:cs="Andalus"/>
          <w:sz w:val="24"/>
          <w:szCs w:val="24"/>
        </w:rPr>
        <w:t xml:space="preserve">nas las partes que ya han comenzado a hormigonarse, dejando </w:t>
      </w:r>
      <w:r w:rsidRPr="0091716D">
        <w:rPr>
          <w:rFonts w:ascii="Bookman Old Style" w:hAnsi="Bookman Old Style" w:cs="Andalus"/>
          <w:sz w:val="24"/>
          <w:szCs w:val="24"/>
        </w:rPr>
        <w:t>una junta de ejecución lo más cerca posible de la mitad de la luz entre los ejes de pilares, siempre en zona de riostras y dejando un corte recto</w:t>
      </w:r>
      <w:r>
        <w:rPr>
          <w:rFonts w:ascii="Bookman Old Style" w:hAnsi="Bookman Old Style" w:cs="Andalus"/>
          <w:sz w:val="24"/>
          <w:szCs w:val="24"/>
        </w:rPr>
        <w:t>,</w:t>
      </w:r>
      <w:r w:rsidRPr="0091716D">
        <w:rPr>
          <w:rFonts w:ascii="Bookman Old Style" w:hAnsi="Bookman Old Style" w:cs="Andalus"/>
          <w:sz w:val="24"/>
          <w:szCs w:val="24"/>
        </w:rPr>
        <w:t xml:space="preserve"> encofrado con malla de alambre galvanizado 20x20 o con </w:t>
      </w:r>
      <w:r w:rsidRPr="0091716D">
        <w:rPr>
          <w:rFonts w:ascii="Bookman Old Style" w:hAnsi="Bookman Old Style" w:cs="Andalus"/>
          <w:i/>
          <w:sz w:val="24"/>
          <w:szCs w:val="24"/>
        </w:rPr>
        <w:t>nervometal</w:t>
      </w:r>
      <w:r>
        <w:rPr>
          <w:rFonts w:ascii="Bookman Old Style" w:hAnsi="Bookman Old Style" w:cs="Andalus"/>
          <w:sz w:val="24"/>
          <w:szCs w:val="24"/>
        </w:rPr>
        <w:t>.  Está junta se limpiará con chorro de agua a presión antes de reemprender de nuevo el hormigonado, esperando a que se haya secado la superficie antes de verter hormigón nuevo.</w:t>
      </w:r>
    </w:p>
    <w:p w:rsidR="009671B9" w:rsidRDefault="009671B9" w:rsidP="001915C0">
      <w:pPr>
        <w:pStyle w:val="ListParagraph"/>
        <w:ind w:left="0"/>
        <w:jc w:val="both"/>
        <w:rPr>
          <w:rFonts w:ascii="Bookman Old Style" w:hAnsi="Bookman Old Style" w:cs="Andalus"/>
          <w:sz w:val="24"/>
          <w:szCs w:val="24"/>
        </w:rPr>
      </w:pPr>
    </w:p>
    <w:p w:rsidR="009671B9" w:rsidRDefault="009671B9" w:rsidP="009B738B">
      <w:pPr>
        <w:pStyle w:val="ListParagraph"/>
        <w:numPr>
          <w:ilvl w:val="0"/>
          <w:numId w:val="2"/>
        </w:numPr>
        <w:tabs>
          <w:tab w:val="left" w:pos="900"/>
        </w:tabs>
        <w:ind w:left="0" w:firstLine="425"/>
        <w:jc w:val="both"/>
        <w:rPr>
          <w:rFonts w:ascii="Bookman Old Style" w:hAnsi="Bookman Old Style" w:cs="Andalus"/>
          <w:sz w:val="24"/>
          <w:szCs w:val="24"/>
        </w:rPr>
      </w:pPr>
      <w:r>
        <w:rPr>
          <w:rFonts w:ascii="Bookman Old Style" w:hAnsi="Bookman Old Style" w:cs="Andalus"/>
          <w:sz w:val="24"/>
          <w:szCs w:val="24"/>
        </w:rPr>
        <w:t>En la zona de apoyo del muro del ascensor con la losa del mismo, se dejará prevista una lámina hidroexpansiva, colocada entre las esperas que sobresalen de la losa.  Además, bajo la losa del ascensor se colocará lámina de polietileno para evitar el ascenso de humedad por capilaridad hacia el interior del foso.</w:t>
      </w:r>
    </w:p>
    <w:p w:rsidR="009671B9" w:rsidRDefault="009671B9" w:rsidP="00C83982">
      <w:pPr>
        <w:pStyle w:val="ListParagraph"/>
        <w:tabs>
          <w:tab w:val="left" w:pos="720"/>
        </w:tabs>
        <w:ind w:left="0"/>
        <w:jc w:val="both"/>
        <w:rPr>
          <w:rFonts w:ascii="Bookman Old Style" w:hAnsi="Bookman Old Style" w:cs="Andalus"/>
          <w:sz w:val="24"/>
          <w:szCs w:val="24"/>
        </w:rPr>
      </w:pPr>
    </w:p>
    <w:p w:rsidR="009671B9" w:rsidRDefault="009671B9" w:rsidP="009B738B">
      <w:pPr>
        <w:pStyle w:val="ListParagraph"/>
        <w:numPr>
          <w:ilvl w:val="0"/>
          <w:numId w:val="2"/>
        </w:numPr>
        <w:tabs>
          <w:tab w:val="left" w:pos="720"/>
          <w:tab w:val="left" w:pos="900"/>
        </w:tabs>
        <w:ind w:left="0" w:firstLine="426"/>
        <w:jc w:val="both"/>
        <w:rPr>
          <w:rFonts w:ascii="Bookman Old Style" w:hAnsi="Bookman Old Style" w:cs="Andalus"/>
          <w:sz w:val="24"/>
          <w:szCs w:val="24"/>
        </w:rPr>
      </w:pPr>
      <w:r>
        <w:rPr>
          <w:rFonts w:ascii="Bookman Old Style" w:hAnsi="Bookman Old Style" w:cs="Andalus"/>
          <w:sz w:val="24"/>
          <w:szCs w:val="24"/>
        </w:rPr>
        <w:t>Previamente al vertido del hormigón, se colocará una varilla en vertical sobresaliendo de las zapatas, donde se señalizará la cara superior del elemento a hormigonar mediante cinta adhesiva o alambre atado a la cota correspondiente, comprobado con el láser, con el objeto de cumplir con los espesores especificados en proyecto y con la cota de terminación exigida.</w:t>
      </w:r>
    </w:p>
    <w:p w:rsidR="009671B9" w:rsidRDefault="009671B9" w:rsidP="00C83982">
      <w:pPr>
        <w:pStyle w:val="ListParagraph"/>
        <w:tabs>
          <w:tab w:val="left" w:pos="720"/>
        </w:tabs>
        <w:ind w:left="0"/>
        <w:jc w:val="both"/>
        <w:rPr>
          <w:rFonts w:ascii="Bookman Old Style" w:hAnsi="Bookman Old Style" w:cs="Andalus"/>
          <w:sz w:val="24"/>
          <w:szCs w:val="24"/>
        </w:rPr>
      </w:pPr>
    </w:p>
    <w:p w:rsidR="009671B9" w:rsidRDefault="009671B9" w:rsidP="009B738B">
      <w:pPr>
        <w:pStyle w:val="ListParagraph"/>
        <w:numPr>
          <w:ilvl w:val="0"/>
          <w:numId w:val="2"/>
        </w:numPr>
        <w:tabs>
          <w:tab w:val="left" w:pos="720"/>
          <w:tab w:val="left" w:pos="900"/>
        </w:tabs>
        <w:ind w:left="0" w:firstLine="426"/>
        <w:jc w:val="both"/>
        <w:rPr>
          <w:rFonts w:ascii="Bookman Old Style" w:hAnsi="Bookman Old Style" w:cs="Andalus"/>
          <w:sz w:val="24"/>
          <w:szCs w:val="24"/>
        </w:rPr>
      </w:pPr>
      <w:r>
        <w:rPr>
          <w:rFonts w:ascii="Bookman Old Style" w:hAnsi="Bookman Old Style" w:cs="Andalus"/>
          <w:sz w:val="24"/>
          <w:szCs w:val="24"/>
        </w:rPr>
        <w:t>No se ejecutará el hormigonado de la cimentación sin que se encuentre colocada la toma de tierra del edificio.</w:t>
      </w:r>
    </w:p>
    <w:p w:rsidR="009671B9" w:rsidRDefault="009671B9" w:rsidP="00C83982">
      <w:pPr>
        <w:pStyle w:val="ListParagraph"/>
        <w:tabs>
          <w:tab w:val="left" w:pos="720"/>
        </w:tabs>
        <w:ind w:left="0"/>
        <w:jc w:val="both"/>
        <w:rPr>
          <w:rFonts w:ascii="Bookman Old Style" w:hAnsi="Bookman Old Style" w:cs="Andalus"/>
          <w:sz w:val="24"/>
          <w:szCs w:val="24"/>
        </w:rPr>
      </w:pPr>
    </w:p>
    <w:p w:rsidR="009671B9" w:rsidRDefault="009671B9" w:rsidP="009B738B">
      <w:pPr>
        <w:pStyle w:val="ListParagraph"/>
        <w:numPr>
          <w:ilvl w:val="0"/>
          <w:numId w:val="2"/>
        </w:numPr>
        <w:tabs>
          <w:tab w:val="left" w:pos="720"/>
          <w:tab w:val="left" w:pos="900"/>
        </w:tabs>
        <w:ind w:left="0" w:firstLine="426"/>
        <w:jc w:val="both"/>
        <w:rPr>
          <w:rFonts w:ascii="Bookman Old Style" w:hAnsi="Bookman Old Style" w:cs="Andalus"/>
          <w:sz w:val="24"/>
          <w:szCs w:val="24"/>
        </w:rPr>
      </w:pPr>
      <w:r>
        <w:rPr>
          <w:rFonts w:ascii="Bookman Old Style" w:hAnsi="Bookman Old Style" w:cs="Andalus"/>
          <w:sz w:val="24"/>
          <w:szCs w:val="24"/>
        </w:rPr>
        <w:t>No se ejecutará el hormigonado de la cimentación sin la aprobación expresa de la dirección facultativa.</w:t>
      </w:r>
    </w:p>
    <w:p w:rsidR="009671B9" w:rsidRDefault="009671B9" w:rsidP="00C83982">
      <w:pPr>
        <w:pStyle w:val="ListParagraph"/>
        <w:tabs>
          <w:tab w:val="left" w:pos="720"/>
        </w:tabs>
        <w:ind w:left="0"/>
        <w:jc w:val="both"/>
        <w:rPr>
          <w:rFonts w:ascii="Bookman Old Style" w:hAnsi="Bookman Old Style" w:cs="Andalus"/>
          <w:sz w:val="24"/>
          <w:szCs w:val="24"/>
        </w:rPr>
      </w:pPr>
    </w:p>
    <w:p w:rsidR="009671B9" w:rsidRPr="007274BF" w:rsidRDefault="009671B9" w:rsidP="009B738B">
      <w:pPr>
        <w:pStyle w:val="ListParagraph"/>
        <w:numPr>
          <w:ilvl w:val="0"/>
          <w:numId w:val="2"/>
        </w:numPr>
        <w:tabs>
          <w:tab w:val="left" w:pos="720"/>
          <w:tab w:val="left" w:pos="900"/>
        </w:tabs>
        <w:ind w:left="0" w:firstLine="426"/>
        <w:jc w:val="both"/>
        <w:rPr>
          <w:rFonts w:ascii="Bookman Old Style" w:hAnsi="Bookman Old Style" w:cs="Andalus"/>
          <w:sz w:val="24"/>
          <w:szCs w:val="24"/>
        </w:rPr>
      </w:pPr>
      <w:r w:rsidRPr="007274BF">
        <w:rPr>
          <w:rFonts w:ascii="Bookman Old Style" w:hAnsi="Bookman Old Style" w:cs="Andalus"/>
          <w:sz w:val="24"/>
          <w:szCs w:val="24"/>
        </w:rPr>
        <w:t>Una vez ejecutado el hormigonado, los elementos de cimentación se mantendrán humedecidos durante al menos 4-5 días (incluso no laborables), mediante riego a primera hora de la mañana y primera hora de la tarde como mínimo, así como siempre que se observe que la superficie del hormigón se encuentra seca o que hace más calor o viento del habitual, en cuyo caso se mantendrá encharcada la superficie.</w:t>
      </w:r>
    </w:p>
    <w:sectPr w:rsidR="009671B9" w:rsidRPr="007274BF" w:rsidSect="00AF168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dalus">
    <w:panose1 w:val="02010000000000000000"/>
    <w:charset w:val="00"/>
    <w:family w:val="auto"/>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58CCE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5EA28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62A24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7F0071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DAA02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D85F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04A9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B044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E639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7AC83C8"/>
    <w:lvl w:ilvl="0">
      <w:start w:val="1"/>
      <w:numFmt w:val="bullet"/>
      <w:lvlText w:val=""/>
      <w:lvlJc w:val="left"/>
      <w:pPr>
        <w:tabs>
          <w:tab w:val="num" w:pos="360"/>
        </w:tabs>
        <w:ind w:left="360" w:hanging="360"/>
      </w:pPr>
      <w:rPr>
        <w:rFonts w:ascii="Symbol" w:hAnsi="Symbol" w:hint="default"/>
      </w:rPr>
    </w:lvl>
  </w:abstractNum>
  <w:abstractNum w:abstractNumId="10">
    <w:nsid w:val="308F2ACA"/>
    <w:multiLevelType w:val="hybridMultilevel"/>
    <w:tmpl w:val="17D2207A"/>
    <w:lvl w:ilvl="0" w:tplc="0C0A000F">
      <w:start w:val="1"/>
      <w:numFmt w:val="decimal"/>
      <w:lvlText w:val="%1."/>
      <w:lvlJc w:val="left"/>
      <w:pPr>
        <w:ind w:left="1068" w:hanging="360"/>
      </w:pPr>
      <w:rPr>
        <w:rFonts w:cs="Times New Roman"/>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1">
    <w:nsid w:val="5C894939"/>
    <w:multiLevelType w:val="hybridMultilevel"/>
    <w:tmpl w:val="9EBC30B6"/>
    <w:lvl w:ilvl="0" w:tplc="0C0A000F">
      <w:start w:val="1"/>
      <w:numFmt w:val="decimal"/>
      <w:lvlText w:val="%1."/>
      <w:lvlJc w:val="left"/>
      <w:pPr>
        <w:ind w:left="1428" w:hanging="360"/>
      </w:pPr>
      <w:rPr>
        <w:rFonts w:cs="Times New Roman"/>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12">
    <w:nsid w:val="688C11C2"/>
    <w:multiLevelType w:val="multilevel"/>
    <w:tmpl w:val="17D2207A"/>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num w:numId="1">
    <w:abstractNumId w:val="11"/>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A92"/>
    <w:rsid w:val="00062C67"/>
    <w:rsid w:val="000B7BF9"/>
    <w:rsid w:val="000C3C4F"/>
    <w:rsid w:val="001377A7"/>
    <w:rsid w:val="001465C9"/>
    <w:rsid w:val="001915C0"/>
    <w:rsid w:val="001B3915"/>
    <w:rsid w:val="001B5845"/>
    <w:rsid w:val="001C57A8"/>
    <w:rsid w:val="0020315F"/>
    <w:rsid w:val="00245140"/>
    <w:rsid w:val="002A5A92"/>
    <w:rsid w:val="002E5C11"/>
    <w:rsid w:val="00425E46"/>
    <w:rsid w:val="00487D5A"/>
    <w:rsid w:val="00596B4C"/>
    <w:rsid w:val="005C5F4D"/>
    <w:rsid w:val="005F2942"/>
    <w:rsid w:val="00600B78"/>
    <w:rsid w:val="00621151"/>
    <w:rsid w:val="006A1675"/>
    <w:rsid w:val="006B714B"/>
    <w:rsid w:val="006D3E01"/>
    <w:rsid w:val="007274BF"/>
    <w:rsid w:val="007E0433"/>
    <w:rsid w:val="0091716D"/>
    <w:rsid w:val="009671B9"/>
    <w:rsid w:val="009903DA"/>
    <w:rsid w:val="009B6D5D"/>
    <w:rsid w:val="009B738B"/>
    <w:rsid w:val="009F0F1C"/>
    <w:rsid w:val="009F6786"/>
    <w:rsid w:val="00A55E6D"/>
    <w:rsid w:val="00AA0F41"/>
    <w:rsid w:val="00AB246E"/>
    <w:rsid w:val="00AB52E0"/>
    <w:rsid w:val="00AF168D"/>
    <w:rsid w:val="00B55A77"/>
    <w:rsid w:val="00B60E2C"/>
    <w:rsid w:val="00BA2F7A"/>
    <w:rsid w:val="00BE6F62"/>
    <w:rsid w:val="00C23E8F"/>
    <w:rsid w:val="00C83982"/>
    <w:rsid w:val="00CD1636"/>
    <w:rsid w:val="00D73B05"/>
    <w:rsid w:val="00DA7642"/>
    <w:rsid w:val="00E3714C"/>
    <w:rsid w:val="00E6797A"/>
    <w:rsid w:val="00E76E24"/>
    <w:rsid w:val="00E875A2"/>
    <w:rsid w:val="00EF356E"/>
    <w:rsid w:val="00F33F6D"/>
    <w:rsid w:val="00F54892"/>
    <w:rsid w:val="00FE3C9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8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596B4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596B4C"/>
    <w:rPr>
      <w:rFonts w:ascii="Cambria" w:hAnsi="Cambria" w:cs="Times New Roman"/>
      <w:color w:val="17365D"/>
      <w:spacing w:val="5"/>
      <w:kern w:val="28"/>
      <w:sz w:val="52"/>
      <w:szCs w:val="52"/>
    </w:rPr>
  </w:style>
  <w:style w:type="paragraph" w:styleId="ListParagraph">
    <w:name w:val="List Paragraph"/>
    <w:basedOn w:val="Normal"/>
    <w:uiPriority w:val="99"/>
    <w:qFormat/>
    <w:rsid w:val="00596B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179</TotalTime>
  <Pages>3</Pages>
  <Words>758</Words>
  <Characters>4171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EXIGENCIAS TÉCNICAS Y DE SEGURIDAD PARA LA EJECUCIÓN DE FORJADOS</dc:title>
  <dc:subject/>
  <dc:creator>ENALCA</dc:creator>
  <cp:keywords/>
  <dc:description/>
  <cp:lastModifiedBy>ENALCA</cp:lastModifiedBy>
  <cp:revision>14</cp:revision>
  <cp:lastPrinted>2008-09-02T09:52:00Z</cp:lastPrinted>
  <dcterms:created xsi:type="dcterms:W3CDTF">2008-09-02T09:52:00Z</dcterms:created>
  <dcterms:modified xsi:type="dcterms:W3CDTF">2008-09-02T17:55:00Z</dcterms:modified>
</cp:coreProperties>
</file>